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01" w:rsidRDefault="002B2524" w:rsidP="00EF1B73">
      <w:pPr>
        <w:spacing w:beforeLines="50" w:afterLines="50" w:line="288" w:lineRule="auto"/>
        <w:rPr>
          <w:rFonts w:ascii="宋体" w:hAnsi="宋体"/>
          <w:b/>
          <w:spacing w:val="-6"/>
          <w:sz w:val="24"/>
          <w:szCs w:val="24"/>
        </w:rPr>
      </w:pPr>
      <w:r>
        <w:rPr>
          <w:rFonts w:ascii="宋体" w:hAnsi="宋体" w:hint="eastAsia"/>
          <w:b/>
          <w:spacing w:val="-6"/>
          <w:sz w:val="24"/>
          <w:szCs w:val="24"/>
        </w:rPr>
        <w:t>二、评分标准：</w:t>
      </w:r>
    </w:p>
    <w:p w:rsidR="00CA5E01" w:rsidRDefault="002B2524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本项目采用综合评分法，评标委员会通过对各投标人利率水平、经营状况、服务水平、经济发展贡献等指标进行评分，满分为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分，其中：</w:t>
      </w:r>
    </w:p>
    <w:p w:rsidR="00CA5E01" w:rsidRDefault="002B2524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）评分细则中的客观分由评标委员会按照少数服从多数的原则，集体统一评分。</w:t>
      </w:r>
    </w:p>
    <w:p w:rsidR="00CA5E01" w:rsidRDefault="002B2524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）评分细则中的</w:t>
      </w:r>
      <w:r>
        <w:rPr>
          <w:rFonts w:ascii="宋体" w:hAnsi="宋体" w:cs="宋体"/>
          <w:sz w:val="24"/>
          <w:szCs w:val="24"/>
        </w:rPr>
        <w:t>服务水平指标</w:t>
      </w:r>
      <w:r>
        <w:rPr>
          <w:rFonts w:ascii="宋体" w:hAnsi="宋体" w:cs="宋体" w:hint="eastAsia"/>
          <w:sz w:val="24"/>
          <w:szCs w:val="24"/>
        </w:rPr>
        <w:t>由各评标委员会成员采用记名方式各自独立评分，如发现某个单项的评分超出了评分细则所规定的分值范围的，则该张评分表无效，此项得分为：评标专家的有效评分的算术平均值（保留小数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位）</w:t>
      </w:r>
      <w:r>
        <w:rPr>
          <w:rFonts w:ascii="宋体" w:hAnsi="宋体"/>
          <w:sz w:val="24"/>
          <w:szCs w:val="24"/>
        </w:rPr>
        <w:t>。</w:t>
      </w:r>
    </w:p>
    <w:p w:rsidR="00CA5E01" w:rsidRDefault="002B2524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得分相同的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，依次按所投利率水平指标、服务水平指标分值由高到低排序，全部相同采用抽签决定。</w:t>
      </w:r>
    </w:p>
    <w:p w:rsidR="00CA5E01" w:rsidRDefault="002B2524">
      <w:pPr>
        <w:widowControl/>
        <w:shd w:val="clear" w:color="auto" w:fill="FFFFFF"/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）评分细则及标准：</w:t>
      </w:r>
    </w:p>
    <w:tbl>
      <w:tblPr>
        <w:tblW w:w="9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05"/>
        <w:gridCol w:w="989"/>
        <w:gridCol w:w="1872"/>
        <w:gridCol w:w="5598"/>
        <w:gridCol w:w="708"/>
      </w:tblGrid>
      <w:tr w:rsidR="00CA5E01">
        <w:trPr>
          <w:trHeight w:val="507"/>
          <w:tblHeader/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评审细则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 w:rsidR="00CA5E01">
        <w:trPr>
          <w:trHeight w:val="1380"/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利率水平指标（满分</w:t>
            </w: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1.1</w:t>
            </w:r>
            <w:r>
              <w:rPr>
                <w:rFonts w:ascii="宋体" w:hAnsi="宋体" w:cs="宋体" w:hint="eastAsia"/>
                <w:sz w:val="24"/>
                <w:szCs w:val="24"/>
              </w:rPr>
              <w:t>利率水平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一年期定期存款利率</w:t>
            </w:r>
            <w:r>
              <w:rPr>
                <w:rFonts w:ascii="宋体" w:hAnsi="宋体" w:hint="eastAsia"/>
                <w:sz w:val="24"/>
                <w:szCs w:val="24"/>
              </w:rPr>
              <w:t>=</w:t>
            </w:r>
            <w:r>
              <w:rPr>
                <w:rFonts w:ascii="宋体" w:hAnsi="宋体" w:hint="eastAsia"/>
                <w:sz w:val="24"/>
                <w:szCs w:val="24"/>
              </w:rPr>
              <w:t>一年期定期存款年基准利率×</w:t>
            </w:r>
            <w:r>
              <w:rPr>
                <w:rFonts w:ascii="宋体" w:hAnsi="宋体" w:hint="eastAsia"/>
                <w:sz w:val="24"/>
                <w:szCs w:val="24"/>
              </w:rPr>
              <w:t>(1+</w:t>
            </w:r>
            <w:r>
              <w:rPr>
                <w:rFonts w:ascii="宋体" w:hAnsi="宋体" w:hint="eastAsia"/>
                <w:sz w:val="24"/>
                <w:szCs w:val="24"/>
              </w:rPr>
              <w:t>一年期定期存款利率较基准利率的上浮率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CA5E01" w:rsidRDefault="002B2524"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一年期定期存款利率最高的得满分</w:t>
            </w: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分，其它投标人的本项得分计算公式如下：</w:t>
            </w:r>
          </w:p>
          <w:p w:rsidR="00CA5E01" w:rsidRDefault="002B2524"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一年期定期存款利率指标得分</w:t>
            </w:r>
            <w:r>
              <w:rPr>
                <w:rFonts w:ascii="宋体" w:hAnsi="宋体" w:hint="eastAsia"/>
                <w:sz w:val="24"/>
                <w:szCs w:val="24"/>
              </w:rPr>
              <w:t>=</w:t>
            </w:r>
            <w:r>
              <w:rPr>
                <w:rFonts w:ascii="宋体" w:hAnsi="宋体" w:hint="eastAsia"/>
                <w:sz w:val="24"/>
                <w:szCs w:val="24"/>
              </w:rPr>
              <w:t>投标人一年期定期存款利率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最高一年期定期存款利率×利率权重（即</w:t>
            </w:r>
            <w:r>
              <w:rPr>
                <w:rFonts w:ascii="宋体" w:hAnsi="宋体" w:hint="eastAsia"/>
                <w:sz w:val="24"/>
                <w:szCs w:val="24"/>
              </w:rPr>
              <w:t>15%</w:t>
            </w:r>
            <w:r>
              <w:rPr>
                <w:rFonts w:ascii="宋体" w:hAnsi="宋体" w:hint="eastAsia"/>
                <w:sz w:val="24"/>
                <w:szCs w:val="24"/>
              </w:rPr>
              <w:t>）×</w:t>
            </w:r>
            <w:r>
              <w:rPr>
                <w:rFonts w:ascii="宋体" w:hAnsi="宋体" w:hint="eastAsia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878"/>
          <w:jc w:val="center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sz w:val="24"/>
                <w:szCs w:val="24"/>
              </w:rPr>
              <w:t>定期存款提前支取的计息方案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定期存款提前支取的计息规</w:t>
            </w:r>
            <w:r>
              <w:rPr>
                <w:rFonts w:ascii="宋体" w:hAnsi="宋体" w:hint="eastAsia"/>
                <w:sz w:val="24"/>
                <w:szCs w:val="24"/>
              </w:rPr>
              <w:t>则指标。执行灵活计息规则的投标银行得满分，不执行该规则的不得分。由评委横向比较，优得</w:t>
            </w:r>
            <w:r>
              <w:rPr>
                <w:rFonts w:ascii="宋体" w:hAnsi="宋体" w:hint="eastAsia"/>
                <w:sz w:val="24"/>
                <w:szCs w:val="24"/>
              </w:rPr>
              <w:t>8-10</w:t>
            </w:r>
            <w:r>
              <w:rPr>
                <w:rFonts w:ascii="宋体" w:hAnsi="宋体" w:hint="eastAsia"/>
                <w:sz w:val="24"/>
                <w:szCs w:val="24"/>
              </w:rPr>
              <w:t>分，良得</w:t>
            </w:r>
            <w:r>
              <w:rPr>
                <w:rFonts w:ascii="宋体" w:hAnsi="宋体" w:hint="eastAsia"/>
                <w:sz w:val="24"/>
                <w:szCs w:val="24"/>
              </w:rPr>
              <w:t>5-7</w:t>
            </w:r>
            <w:r>
              <w:rPr>
                <w:rFonts w:ascii="宋体" w:hAnsi="宋体" w:hint="eastAsia"/>
                <w:sz w:val="24"/>
                <w:szCs w:val="24"/>
              </w:rPr>
              <w:t>分，一般得</w:t>
            </w:r>
            <w:r>
              <w:rPr>
                <w:rFonts w:ascii="宋体" w:hAnsi="宋体" w:hint="eastAsia"/>
                <w:sz w:val="24"/>
                <w:szCs w:val="24"/>
              </w:rPr>
              <w:t>1-4</w:t>
            </w:r>
            <w:r>
              <w:rPr>
                <w:rFonts w:ascii="宋体" w:hAnsi="宋体" w:hint="eastAsia"/>
                <w:sz w:val="24"/>
                <w:szCs w:val="24"/>
              </w:rPr>
              <w:t>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964"/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经营状况指标</w:t>
            </w:r>
          </w:p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（满分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资产质量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根据投标银行不良资产率排名进行评分。不良资产率</w:t>
            </w:r>
            <w:r>
              <w:rPr>
                <w:rFonts w:ascii="宋体" w:hAnsi="宋体" w:hint="eastAsia"/>
                <w:sz w:val="24"/>
                <w:szCs w:val="24"/>
              </w:rPr>
              <w:t>排名第一</w:t>
            </w:r>
            <w:r>
              <w:rPr>
                <w:rFonts w:ascii="宋体" w:hAnsi="宋体" w:hint="eastAsia"/>
                <w:sz w:val="24"/>
                <w:szCs w:val="24"/>
              </w:rPr>
              <w:t>的得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hint="eastAsia"/>
                <w:sz w:val="24"/>
                <w:szCs w:val="24"/>
              </w:rPr>
              <w:t>0.1</w:t>
            </w:r>
            <w:r>
              <w:rPr>
                <w:rFonts w:ascii="宋体" w:hAnsi="宋体" w:hint="eastAsia"/>
                <w:sz w:val="24"/>
                <w:szCs w:val="24"/>
              </w:rPr>
              <w:t>分，减完为止。（由省财政厅提供数据）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964"/>
          <w:jc w:val="center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运营状况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根据投标银行的利润总额排名进行评分。利润总额排名第一的得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hint="eastAsia"/>
                <w:sz w:val="24"/>
                <w:szCs w:val="24"/>
              </w:rPr>
              <w:t>0.5</w:t>
            </w:r>
            <w:r>
              <w:rPr>
                <w:rFonts w:ascii="宋体" w:hAnsi="宋体" w:hint="eastAsia"/>
                <w:sz w:val="24"/>
                <w:szCs w:val="24"/>
              </w:rPr>
              <w:t>分，减完为止。（由省财政厅提供数据）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1330"/>
          <w:jc w:val="center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根据投标银行的利润增长率排名进行评分。利润增长率排名第一的得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hint="eastAsia"/>
                <w:sz w:val="24"/>
                <w:szCs w:val="24"/>
              </w:rPr>
              <w:t>0.5</w:t>
            </w:r>
            <w:r>
              <w:rPr>
                <w:rFonts w:ascii="宋体" w:hAnsi="宋体" w:hint="eastAsia"/>
                <w:sz w:val="24"/>
                <w:szCs w:val="24"/>
              </w:rPr>
              <w:t>分，减完为止。（由省财政厅提供数据）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469"/>
          <w:jc w:val="center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偿付能力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根据投标银行拨备覆盖率排名进行评分。拨备覆盖率排名第一的得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hint="eastAsia"/>
                <w:sz w:val="24"/>
                <w:szCs w:val="24"/>
              </w:rPr>
              <w:t>0.1</w:t>
            </w:r>
            <w:r>
              <w:rPr>
                <w:rFonts w:ascii="宋体" w:hAnsi="宋体" w:hint="eastAsia"/>
                <w:sz w:val="24"/>
                <w:szCs w:val="24"/>
              </w:rPr>
              <w:t>分，减完为止。（由省财政厅提供数据）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622"/>
          <w:jc w:val="center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内控水平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根据投标银行近三年</w:t>
            </w:r>
            <w:r w:rsidR="00CA5E01" w:rsidRPr="00CA5E01">
              <w:rPr>
                <w:rFonts w:ascii="宋体" w:hAnsi="宋体" w:hint="eastAsia"/>
                <w:sz w:val="24"/>
                <w:szCs w:val="24"/>
              </w:rPr>
              <w:t>银保监</w:t>
            </w:r>
            <w:r>
              <w:rPr>
                <w:rFonts w:ascii="宋体" w:hAnsi="宋体" w:hint="eastAsia"/>
                <w:sz w:val="24"/>
                <w:szCs w:val="24"/>
              </w:rPr>
              <w:t>行政处罚情况进行评分。银</w:t>
            </w:r>
            <w:r>
              <w:rPr>
                <w:rFonts w:ascii="宋体" w:hAnsi="宋体" w:hint="eastAsia"/>
                <w:sz w:val="24"/>
                <w:szCs w:val="24"/>
              </w:rPr>
              <w:t>保</w:t>
            </w:r>
            <w:r>
              <w:rPr>
                <w:rFonts w:ascii="宋体" w:hAnsi="宋体" w:hint="eastAsia"/>
                <w:sz w:val="24"/>
                <w:szCs w:val="24"/>
              </w:rPr>
              <w:t>监行政处罚</w:t>
            </w:r>
            <w:r>
              <w:rPr>
                <w:rFonts w:ascii="宋体" w:hAnsi="宋体" w:hint="eastAsia"/>
                <w:sz w:val="24"/>
                <w:szCs w:val="24"/>
              </w:rPr>
              <w:t>排名第一的</w:t>
            </w:r>
            <w:r>
              <w:rPr>
                <w:rFonts w:ascii="宋体" w:hAnsi="宋体" w:hint="eastAsia"/>
                <w:sz w:val="24"/>
                <w:szCs w:val="24"/>
              </w:rPr>
              <w:t>得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hint="eastAsia"/>
                <w:sz w:val="24"/>
                <w:szCs w:val="24"/>
              </w:rPr>
              <w:t>0.1</w:t>
            </w:r>
            <w:r>
              <w:rPr>
                <w:rFonts w:ascii="宋体" w:hAnsi="宋体" w:hint="eastAsia"/>
                <w:sz w:val="24"/>
                <w:szCs w:val="24"/>
              </w:rPr>
              <w:t>分，减完为止。（由省财政厅提供数据）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954"/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服务水平指标（满分</w:t>
            </w: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3.1</w:t>
            </w:r>
            <w:r>
              <w:rPr>
                <w:rFonts w:ascii="宋体" w:hAnsi="宋体" w:cs="宋体" w:hint="eastAsia"/>
                <w:sz w:val="24"/>
                <w:szCs w:val="24"/>
              </w:rPr>
              <w:t>投标银行信息系统建设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投标银行信息系统建设。信息系统建设是否完善、数据安全保障情况、操作流程是否清晰、便捷，</w:t>
            </w:r>
            <w:r>
              <w:rPr>
                <w:rFonts w:ascii="宋体" w:hAnsi="宋体" w:cs="宋体" w:hint="eastAsia"/>
                <w:sz w:val="24"/>
                <w:szCs w:val="24"/>
              </w:rPr>
              <w:t>POS</w:t>
            </w:r>
            <w:r>
              <w:rPr>
                <w:rFonts w:ascii="宋体" w:hAnsi="宋体" w:cs="宋体" w:hint="eastAsia"/>
                <w:sz w:val="24"/>
                <w:szCs w:val="24"/>
              </w:rPr>
              <w:t>机及秘钥等远程操作的安全性、便捷性等进行综合评分。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954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3.2</w:t>
            </w:r>
            <w:r>
              <w:rPr>
                <w:rFonts w:ascii="宋体" w:hAnsi="宋体" w:cs="宋体" w:hint="eastAsia"/>
                <w:sz w:val="24"/>
                <w:szCs w:val="24"/>
              </w:rPr>
              <w:t>投标银行的服务管理体系评价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投标银行的服务管理体系评价。服务管理体系是否完善、服务的及时性和服务水平的监控评价制度是否完善等进行评分。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69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3.3</w:t>
            </w:r>
            <w:r>
              <w:rPr>
                <w:rFonts w:ascii="宋体" w:hAnsi="宋体" w:cs="宋体" w:hint="eastAsia"/>
                <w:sz w:val="24"/>
                <w:szCs w:val="24"/>
              </w:rPr>
              <w:t>对账务、分账核算服务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对账务、分账核算服务的水平及方案综合评分。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430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3.4</w:t>
            </w:r>
            <w:r>
              <w:rPr>
                <w:rFonts w:ascii="宋体" w:hAnsi="宋体" w:cs="宋体" w:hint="eastAsia"/>
                <w:sz w:val="24"/>
                <w:szCs w:val="24"/>
              </w:rPr>
              <w:t>提供储户风险保障方案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是否设有储户风险保障方案，方案是否完善，内控制度是否严谨等情况综合评分。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450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3.5</w:t>
            </w:r>
            <w:r>
              <w:rPr>
                <w:rFonts w:ascii="宋体" w:hAnsi="宋体" w:cs="宋体" w:hint="eastAsia"/>
                <w:sz w:val="24"/>
                <w:szCs w:val="24"/>
              </w:rPr>
              <w:t>日常服务情况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指定专门服务人员提供日常上门服务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分；未指定专人，仅提供上门服务的得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分；不提供上门服务不得分。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90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3.6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服务费用减免等银行服务优惠措施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服务费用减免等银行服务优惠措施</w:t>
            </w:r>
          </w:p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根据提供的服务费用情况及优惠措施进行综合评分。（提供一般业务服务费用清单）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CA5E01">
        <w:trPr>
          <w:trHeight w:val="880"/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</w:t>
            </w:r>
            <w:r>
              <w:rPr>
                <w:rFonts w:ascii="宋体" w:hAnsi="宋体" w:cs="宋体" w:hint="eastAsia"/>
                <w:sz w:val="24"/>
                <w:szCs w:val="24"/>
              </w:rPr>
              <w:t>贡献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  <w:r>
              <w:rPr>
                <w:rFonts w:ascii="宋体" w:hAnsi="宋体" w:cs="宋体" w:hint="eastAsia"/>
                <w:sz w:val="24"/>
                <w:szCs w:val="24"/>
              </w:rPr>
              <w:t>指标（满分</w:t>
            </w: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支持地方经济社会发展情况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浙江省政府金融机构支持地方经济社会发展评价结果进行评分。一等奖的得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  <w:r w:rsidR="00CA5E01" w:rsidRPr="00CA5E01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二等奖的得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</w:t>
            </w:r>
            <w:r>
              <w:rPr>
                <w:rFonts w:ascii="宋体" w:hAnsi="宋体" w:cs="宋体" w:hint="eastAsia"/>
                <w:sz w:val="24"/>
                <w:szCs w:val="24"/>
              </w:rPr>
              <w:t>三等奖的得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分，未得奖的不得分。</w:t>
            </w:r>
            <w:r>
              <w:rPr>
                <w:rFonts w:ascii="宋体" w:hAnsi="宋体" w:cs="宋体" w:hint="eastAsia"/>
                <w:sz w:val="24"/>
                <w:szCs w:val="24"/>
              </w:rPr>
              <w:t>（由省财政厅提供数据）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219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支持制造业情况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制造业贷款余额排名进行评分。排名第一的</w:t>
            </w:r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338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制造业贷款额占各项贷款余额比例增长情况排名进行评分。</w:t>
            </w:r>
            <w:r>
              <w:rPr>
                <w:rFonts w:ascii="宋体" w:hAnsi="宋体" w:cs="宋体" w:hint="eastAsia"/>
                <w:sz w:val="24"/>
                <w:szCs w:val="24"/>
              </w:rPr>
              <w:t>排名第一的</w:t>
            </w:r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239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支持小微企业情况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小微企业贷款余额排名进行评分。排名第一的</w:t>
            </w:r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219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小微企业贷款额占各项贷款余额比例增长情况排名进行评分。排名第一的</w:t>
            </w:r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338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支持“三农”情况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涉农贷款余额排名进行评分。排名第一的</w:t>
            </w:r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338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涉农贷款额占各项贷款余额比例增长情况排名进行评分。排名第一的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得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347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非金融企业债务融资工具承销情况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非金融企业债务融资工具承销额排名进行评分。排名第一的得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分，减完为止。未承销的</w:t>
            </w:r>
            <w:r>
              <w:rPr>
                <w:rFonts w:ascii="宋体" w:hAnsi="宋体" w:cs="宋体" w:hint="eastAsia"/>
                <w:sz w:val="24"/>
                <w:szCs w:val="24"/>
              </w:rPr>
              <w:t>不得分。（由省财政厅提供数据为准）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219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</w:t>
            </w:r>
            <w:r>
              <w:rPr>
                <w:rFonts w:ascii="宋体" w:hAnsi="宋体" w:cs="宋体" w:hint="eastAsia"/>
                <w:sz w:val="24"/>
                <w:szCs w:val="24"/>
              </w:rPr>
              <w:t>非金融企业债务融资工具承销增长率排名进行评分。排名第一的得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分，减完为止。未承销的</w:t>
            </w:r>
            <w:r>
              <w:rPr>
                <w:rFonts w:ascii="宋体" w:hAnsi="宋体" w:cs="宋体" w:hint="eastAsia"/>
                <w:sz w:val="24"/>
                <w:szCs w:val="24"/>
              </w:rPr>
              <w:t>不得分。（由省财政厅提供数据为准）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233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widowControl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根据投标银行纳税总额排名进行评分。排名第一的得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分，减完为止，未纳税的得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分。（由省财政厅提供数据为准）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397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CA5E01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根据投标银行税收增长率排名进行评分。排名第一的得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0.1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分，减完为止，未纳税的得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分。（由省财政厅提供数据为准）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CA5E01">
        <w:trPr>
          <w:trHeight w:val="1631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5E01" w:rsidRDefault="00CA5E01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支持浙江省公益性事业发展情况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根据投标银行支持浙江省公益性事业发展债务融资承销余额</w:t>
            </w:r>
            <w:r>
              <w:rPr>
                <w:rFonts w:ascii="宋体" w:hAnsi="宋体" w:cs="宋体" w:hint="eastAsia"/>
                <w:sz w:val="24"/>
                <w:szCs w:val="24"/>
              </w:rPr>
              <w:t>（含承办柜台发行量）</w:t>
            </w:r>
            <w:r>
              <w:rPr>
                <w:rFonts w:ascii="宋体" w:hAnsi="宋体" w:cs="宋体" w:hint="eastAsia"/>
                <w:sz w:val="24"/>
                <w:szCs w:val="24"/>
              </w:rPr>
              <w:t>排名进行评分。排名第一的得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分，其余投标银行排名每降低一名相应递减</w:t>
            </w:r>
            <w:r>
              <w:rPr>
                <w:rFonts w:ascii="宋体" w:hAnsi="宋体" w:cs="宋体" w:hint="eastAsia"/>
                <w:sz w:val="24"/>
                <w:szCs w:val="24"/>
              </w:rPr>
              <w:t>0.5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分，减完为止。未承销的</w:t>
            </w:r>
            <w:r>
              <w:rPr>
                <w:rFonts w:ascii="宋体" w:hAnsi="宋体" w:cs="宋体" w:hint="eastAsia"/>
                <w:sz w:val="24"/>
                <w:szCs w:val="24"/>
              </w:rPr>
              <w:t>不得分。（由省财政厅提供数据为准）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E01" w:rsidRDefault="002B25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</w:tbl>
    <w:p w:rsidR="00CA5E01" w:rsidRDefault="002B2524">
      <w:pPr>
        <w:snapToGrid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CA5E01" w:rsidRDefault="002B2524">
      <w:pPr>
        <w:snapToGrid w:val="0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以上评分中要求提供的证明材料，若投标文件中为复印件的，均应在投标时准备原件备查，否则评标委员会有权不予认可。</w:t>
      </w:r>
    </w:p>
    <w:p w:rsidR="00CA5E01" w:rsidRDefault="00CA5E01"/>
    <w:sectPr w:rsidR="00CA5E01" w:rsidSect="00CA5E01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24" w:rsidRDefault="002B2524" w:rsidP="00EF1B73">
      <w:r>
        <w:separator/>
      </w:r>
    </w:p>
  </w:endnote>
  <w:endnote w:type="continuationSeparator" w:id="0">
    <w:p w:rsidR="002B2524" w:rsidRDefault="002B2524" w:rsidP="00E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24" w:rsidRDefault="002B2524" w:rsidP="00EF1B73">
      <w:r>
        <w:separator/>
      </w:r>
    </w:p>
  </w:footnote>
  <w:footnote w:type="continuationSeparator" w:id="0">
    <w:p w:rsidR="002B2524" w:rsidRDefault="002B2524" w:rsidP="00EF1B7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楠楠果果">
    <w15:presenceInfo w15:providerId="WPS Office" w15:userId="72079003"/>
  </w15:person>
  <w15:person w15:author="郎芳琴">
    <w15:presenceInfo w15:providerId="None" w15:userId="郎芳琴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EC"/>
    <w:rsid w:val="000A59F4"/>
    <w:rsid w:val="002B2524"/>
    <w:rsid w:val="004E7225"/>
    <w:rsid w:val="00654F7E"/>
    <w:rsid w:val="00715FCE"/>
    <w:rsid w:val="00A032EC"/>
    <w:rsid w:val="00C62879"/>
    <w:rsid w:val="00CA5E01"/>
    <w:rsid w:val="00EF1B73"/>
    <w:rsid w:val="00F46832"/>
    <w:rsid w:val="00FB0D82"/>
    <w:rsid w:val="00FB6B80"/>
    <w:rsid w:val="4EA2796F"/>
    <w:rsid w:val="60F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5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5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5E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5E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B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B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海锋</dc:creator>
  <cp:lastModifiedBy>Windows 用户</cp:lastModifiedBy>
  <cp:revision>5</cp:revision>
  <dcterms:created xsi:type="dcterms:W3CDTF">2020-12-08T08:02:00Z</dcterms:created>
  <dcterms:modified xsi:type="dcterms:W3CDTF">2020-12-09T02:09:00Z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